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1B62B" w14:textId="77777777" w:rsidR="00A2372F" w:rsidRDefault="00A2372F" w:rsidP="00A2372F">
      <w:pPr>
        <w:jc w:val="center"/>
      </w:pPr>
      <w:r>
        <w:rPr>
          <w:b/>
          <w:sz w:val="28"/>
          <w:szCs w:val="28"/>
        </w:rPr>
        <w:t xml:space="preserve">Аналитическая справка </w:t>
      </w:r>
    </w:p>
    <w:p w14:paraId="31B6711B" w14:textId="77777777" w:rsidR="00A2372F" w:rsidRDefault="00A2372F" w:rsidP="00A23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проведения мониторинга объективности результатов Всероссийских проверочных работ</w:t>
      </w:r>
    </w:p>
    <w:p w14:paraId="3F1DD859" w14:textId="77777777" w:rsidR="00A2372F" w:rsidRDefault="00A2372F" w:rsidP="00A2372F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На основании письма Федеральной службы по надзору в сфере образования и науки (</w:t>
      </w:r>
      <w:proofErr w:type="spellStart"/>
      <w:r>
        <w:rPr>
          <w:color w:val="000000"/>
          <w:sz w:val="28"/>
          <w:szCs w:val="28"/>
        </w:rPr>
        <w:t>Рособрнадзора</w:t>
      </w:r>
      <w:proofErr w:type="spellEnd"/>
      <w:r>
        <w:rPr>
          <w:color w:val="000000"/>
          <w:sz w:val="28"/>
          <w:szCs w:val="28"/>
        </w:rPr>
        <w:t xml:space="preserve">),  от 25.07.2018 № 13/331,  приказа  Министерства образования и науки Республики Калмыкия №1184 от 16.08.2019 «О проведении мониторинга объективности результатов Всероссийских проверочных работ»   </w:t>
      </w:r>
      <w:r w:rsidR="003A51D5">
        <w:rPr>
          <w:color w:val="000000"/>
          <w:sz w:val="28"/>
          <w:szCs w:val="28"/>
        </w:rPr>
        <w:t>10 октября</w:t>
      </w:r>
      <w:r>
        <w:rPr>
          <w:color w:val="000000"/>
          <w:sz w:val="28"/>
          <w:szCs w:val="28"/>
        </w:rPr>
        <w:t xml:space="preserve">  2019 г. была проведена Региональная диагности</w:t>
      </w:r>
      <w:r w:rsidR="00FF79EA">
        <w:rPr>
          <w:color w:val="000000"/>
          <w:sz w:val="28"/>
          <w:szCs w:val="28"/>
        </w:rPr>
        <w:t xml:space="preserve">ческая работа (далее </w:t>
      </w:r>
      <w:r>
        <w:rPr>
          <w:color w:val="000000"/>
          <w:sz w:val="28"/>
          <w:szCs w:val="28"/>
        </w:rPr>
        <w:t xml:space="preserve"> РДР) по </w:t>
      </w:r>
      <w:r w:rsidR="003A51D5">
        <w:rPr>
          <w:color w:val="000000"/>
          <w:sz w:val="28"/>
          <w:szCs w:val="28"/>
        </w:rPr>
        <w:t>математике</w:t>
      </w:r>
      <w:r>
        <w:rPr>
          <w:color w:val="000000"/>
          <w:sz w:val="28"/>
          <w:szCs w:val="28"/>
        </w:rPr>
        <w:t xml:space="preserve"> среди учащихся 6 классов ОО РК: МКОУ «</w:t>
      </w:r>
      <w:proofErr w:type="spellStart"/>
      <w:r w:rsidR="003A51D5">
        <w:rPr>
          <w:color w:val="000000"/>
          <w:sz w:val="28"/>
          <w:szCs w:val="28"/>
        </w:rPr>
        <w:t>Цаган-Нурская</w:t>
      </w:r>
      <w:proofErr w:type="spellEnd"/>
      <w:r w:rsidR="003A51D5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»,  МКОУ «</w:t>
      </w:r>
      <w:proofErr w:type="spellStart"/>
      <w:r>
        <w:rPr>
          <w:color w:val="000000"/>
          <w:sz w:val="28"/>
          <w:szCs w:val="28"/>
        </w:rPr>
        <w:t>Кумская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 w:rsidR="003A51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7701A95E" w14:textId="77777777" w:rsidR="00FF79EA" w:rsidRDefault="00FF79EA" w:rsidP="00A2372F">
      <w:pPr>
        <w:jc w:val="center"/>
        <w:rPr>
          <w:sz w:val="28"/>
          <w:szCs w:val="28"/>
        </w:rPr>
      </w:pPr>
    </w:p>
    <w:p w14:paraId="15CB6F97" w14:textId="77777777" w:rsidR="00A2372F" w:rsidRDefault="00A2372F" w:rsidP="00A237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Анализ контрольно-измерительных материалов мониторинга </w:t>
      </w:r>
    </w:p>
    <w:p w14:paraId="3884B1D2" w14:textId="77777777" w:rsidR="00A2372F" w:rsidRDefault="00A2372F" w:rsidP="00A2372F">
      <w:pPr>
        <w:jc w:val="center"/>
      </w:pPr>
      <w:r>
        <w:rPr>
          <w:b/>
          <w:sz w:val="28"/>
          <w:szCs w:val="28"/>
        </w:rPr>
        <w:t xml:space="preserve"> по </w:t>
      </w:r>
      <w:r w:rsidR="003A51D5">
        <w:rPr>
          <w:b/>
          <w:sz w:val="28"/>
          <w:szCs w:val="28"/>
        </w:rPr>
        <w:t>математике</w:t>
      </w:r>
      <w:r>
        <w:rPr>
          <w:b/>
          <w:sz w:val="28"/>
          <w:szCs w:val="28"/>
        </w:rPr>
        <w:t xml:space="preserve"> в 6 классе</w:t>
      </w:r>
    </w:p>
    <w:p w14:paraId="55A6A772" w14:textId="77777777" w:rsidR="00A2372F" w:rsidRDefault="00A2372F" w:rsidP="00A2372F">
      <w:pPr>
        <w:pStyle w:val="1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7572984D" w14:textId="77777777" w:rsidR="00A2372F" w:rsidRDefault="00A2372F" w:rsidP="00A2372F">
      <w:pPr>
        <w:pStyle w:val="1"/>
        <w:spacing w:before="0" w:after="0"/>
        <w:ind w:firstLine="708"/>
        <w:jc w:val="both"/>
      </w:pPr>
      <w:r>
        <w:rPr>
          <w:sz w:val="28"/>
          <w:szCs w:val="28"/>
        </w:rPr>
        <w:t xml:space="preserve">Содержание  и  структура  проверочной  работы  определяются  на  основе Федерального  государственного  образовательного  стандарта  основного  общего образования  (приказ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России  от  17.12.2010  №  1897)  с  учетом  Примерной  основной  образовательной  программы   основного  общего образования  (одобрена  решением  Федерального  учебно-методического объединения  по  общему  образованию  (протокол  от  08.04.2015  №  1/15))  и содержания  учебников,  включенных  в  Федеральный  перечень учебников.    </w:t>
      </w:r>
    </w:p>
    <w:p w14:paraId="4849C4A6" w14:textId="77777777" w:rsidR="003A51D5" w:rsidRDefault="003A51D5" w:rsidP="00A2372F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3ADC">
        <w:rPr>
          <w:sz w:val="28"/>
          <w:szCs w:val="28"/>
        </w:rPr>
        <w:t>Контрольно-измерительные материалы ВПР по математике содержали 1</w:t>
      </w:r>
      <w:r>
        <w:rPr>
          <w:sz w:val="28"/>
          <w:szCs w:val="28"/>
        </w:rPr>
        <w:t>5</w:t>
      </w:r>
      <w:r w:rsidRPr="00E23ADC">
        <w:rPr>
          <w:sz w:val="28"/>
          <w:szCs w:val="28"/>
        </w:rPr>
        <w:t xml:space="preserve"> заданий</w:t>
      </w:r>
      <w:r w:rsidRPr="00E23ADC">
        <w:rPr>
          <w:bCs/>
          <w:sz w:val="28"/>
          <w:szCs w:val="28"/>
        </w:rPr>
        <w:t>, на выполнение которых давалось 60 минут. В заданиях проверялось владение понятиями «делимость чисел», «обыкновенная дробь», «десятичная дробь», умение находить часть числа и число по его части, находить неизвестный компонент арифметического действия, умение решать текстовые задачи на движение, работу, проценты и задачи практического содержания. Также проверял</w:t>
      </w:r>
      <w:r>
        <w:rPr>
          <w:bCs/>
          <w:sz w:val="28"/>
          <w:szCs w:val="28"/>
        </w:rPr>
        <w:t>и</w:t>
      </w:r>
      <w:r w:rsidRPr="00E23ADC">
        <w:rPr>
          <w:bCs/>
          <w:sz w:val="28"/>
          <w:szCs w:val="28"/>
        </w:rPr>
        <w:t>сь умения применять полученные знания для решения задач практического характера, извлекать информацию, представленную в таблицах и диаграммах, применять геометрические представления при решении практических задач. Задания повышенного уровня сложности были направлены на проверку логического мышления, умения проводить математические</w:t>
      </w:r>
      <w:r w:rsidR="00A2372F">
        <w:rPr>
          <w:sz w:val="28"/>
          <w:szCs w:val="28"/>
        </w:rPr>
        <w:t xml:space="preserve"> </w:t>
      </w:r>
      <w:r w:rsidR="00A2372F">
        <w:rPr>
          <w:sz w:val="28"/>
          <w:szCs w:val="28"/>
        </w:rPr>
        <w:tab/>
      </w:r>
      <w:r>
        <w:rPr>
          <w:sz w:val="28"/>
          <w:szCs w:val="28"/>
        </w:rPr>
        <w:t>рассуждения.</w:t>
      </w:r>
    </w:p>
    <w:p w14:paraId="5109E5C0" w14:textId="77777777" w:rsidR="00230F30" w:rsidRPr="00E23ADC" w:rsidRDefault="003A51D5" w:rsidP="00230F3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30F30">
        <w:rPr>
          <w:sz w:val="28"/>
          <w:szCs w:val="28"/>
        </w:rPr>
        <w:t>В заданиях 1–8</w:t>
      </w:r>
      <w:r w:rsidR="00230F30" w:rsidRPr="00E23ADC">
        <w:rPr>
          <w:sz w:val="28"/>
          <w:szCs w:val="28"/>
        </w:rPr>
        <w:t xml:space="preserve">, </w:t>
      </w:r>
      <w:r w:rsidR="00230F30">
        <w:rPr>
          <w:sz w:val="28"/>
          <w:szCs w:val="28"/>
        </w:rPr>
        <w:t xml:space="preserve"> 9 пункт 2 </w:t>
      </w:r>
      <w:r w:rsidR="00230F30" w:rsidRPr="00E23ADC">
        <w:rPr>
          <w:sz w:val="28"/>
          <w:szCs w:val="28"/>
        </w:rPr>
        <w:t xml:space="preserve"> необходимо записать только ответ. В задании </w:t>
      </w:r>
      <w:r w:rsidR="00230F30">
        <w:rPr>
          <w:sz w:val="28"/>
          <w:szCs w:val="28"/>
        </w:rPr>
        <w:t>9</w:t>
      </w:r>
      <w:r w:rsidR="00230F30" w:rsidRPr="00E23ADC">
        <w:rPr>
          <w:sz w:val="28"/>
          <w:szCs w:val="28"/>
        </w:rPr>
        <w:t xml:space="preserve"> (пункт </w:t>
      </w:r>
      <w:r w:rsidR="00230F30">
        <w:rPr>
          <w:sz w:val="28"/>
          <w:szCs w:val="28"/>
        </w:rPr>
        <w:t>1</w:t>
      </w:r>
      <w:r w:rsidR="00230F30" w:rsidRPr="00E23ADC">
        <w:rPr>
          <w:sz w:val="28"/>
          <w:szCs w:val="28"/>
        </w:rPr>
        <w:t>) нужно изобразить требуемые элементы рисунка. В заданиях 10</w:t>
      </w:r>
      <w:r w:rsidR="00230F30">
        <w:rPr>
          <w:sz w:val="28"/>
          <w:szCs w:val="28"/>
        </w:rPr>
        <w:t xml:space="preserve"> - </w:t>
      </w:r>
      <w:r w:rsidR="00230F30" w:rsidRPr="00E23ADC">
        <w:rPr>
          <w:sz w:val="28"/>
          <w:szCs w:val="28"/>
        </w:rPr>
        <w:t xml:space="preserve"> 1</w:t>
      </w:r>
      <w:r w:rsidR="00230F30">
        <w:rPr>
          <w:sz w:val="28"/>
          <w:szCs w:val="28"/>
        </w:rPr>
        <w:t>5</w:t>
      </w:r>
      <w:r w:rsidR="00230F30" w:rsidRPr="00E23ADC">
        <w:rPr>
          <w:sz w:val="28"/>
          <w:szCs w:val="28"/>
        </w:rPr>
        <w:t xml:space="preserve"> требуется записать решение и ответ. </w:t>
      </w:r>
    </w:p>
    <w:p w14:paraId="03BFE19A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1–5 </w:t>
      </w:r>
      <w:r w:rsidRPr="00E23ADC">
        <w:rPr>
          <w:sz w:val="28"/>
          <w:szCs w:val="28"/>
        </w:rPr>
        <w:t>проверяется владение понятиями «делимость чисел», «обыкновенная дробь», «</w:t>
      </w:r>
      <w:r>
        <w:rPr>
          <w:sz w:val="28"/>
          <w:szCs w:val="28"/>
        </w:rPr>
        <w:t>целые числа</w:t>
      </w:r>
      <w:r w:rsidRPr="00E23ADC">
        <w:rPr>
          <w:sz w:val="28"/>
          <w:szCs w:val="28"/>
        </w:rPr>
        <w:t xml:space="preserve">». </w:t>
      </w:r>
    </w:p>
    <w:p w14:paraId="733E852B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  <w:r w:rsidRPr="00E23ADC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6 </w:t>
      </w:r>
      <w:r w:rsidRPr="00E23ADC">
        <w:rPr>
          <w:sz w:val="28"/>
          <w:szCs w:val="28"/>
        </w:rPr>
        <w:t xml:space="preserve"> контролируется умение находить неизвестный компонент арифметического действия. </w:t>
      </w:r>
    </w:p>
    <w:p w14:paraId="4087B39D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  <w:r w:rsidRPr="00E23ADC">
        <w:rPr>
          <w:sz w:val="28"/>
          <w:szCs w:val="28"/>
        </w:rPr>
        <w:t xml:space="preserve">В заданиях </w:t>
      </w:r>
      <w:r>
        <w:rPr>
          <w:sz w:val="28"/>
          <w:szCs w:val="28"/>
        </w:rPr>
        <w:t>7, 8,  12,14</w:t>
      </w:r>
      <w:r w:rsidRPr="00E23ADC">
        <w:rPr>
          <w:sz w:val="28"/>
          <w:szCs w:val="28"/>
        </w:rPr>
        <w:t xml:space="preserve"> проверяются умения решать текстовые задачи на движение, работу, проценты и задачи практического содержания. </w:t>
      </w:r>
    </w:p>
    <w:p w14:paraId="31026494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  <w:r w:rsidRPr="00E23ADC">
        <w:rPr>
          <w:sz w:val="28"/>
          <w:szCs w:val="28"/>
        </w:rPr>
        <w:lastRenderedPageBreak/>
        <w:t xml:space="preserve">Задание </w:t>
      </w:r>
      <w:r>
        <w:rPr>
          <w:sz w:val="28"/>
          <w:szCs w:val="28"/>
        </w:rPr>
        <w:t>9</w:t>
      </w:r>
      <w:r w:rsidRPr="00E23ADC">
        <w:rPr>
          <w:sz w:val="28"/>
          <w:szCs w:val="28"/>
        </w:rPr>
        <w:t xml:space="preserve">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Заданием 1</w:t>
      </w:r>
      <w:r>
        <w:rPr>
          <w:sz w:val="28"/>
          <w:szCs w:val="28"/>
        </w:rPr>
        <w:t>0</w:t>
      </w:r>
      <w:r w:rsidRPr="00E23ADC">
        <w:rPr>
          <w:sz w:val="28"/>
          <w:szCs w:val="28"/>
        </w:rPr>
        <w:t xml:space="preserve"> проверяется развитие пространственных представлений. </w:t>
      </w:r>
    </w:p>
    <w:p w14:paraId="43D953BD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  <w:r w:rsidRPr="00E23ADC">
        <w:rPr>
          <w:sz w:val="28"/>
          <w:szCs w:val="28"/>
        </w:rPr>
        <w:t xml:space="preserve">Заданием </w:t>
      </w:r>
      <w:r>
        <w:rPr>
          <w:sz w:val="28"/>
          <w:szCs w:val="28"/>
        </w:rPr>
        <w:t>11</w:t>
      </w:r>
      <w:r w:rsidRPr="00E23ADC">
        <w:rPr>
          <w:sz w:val="28"/>
          <w:szCs w:val="28"/>
        </w:rPr>
        <w:t xml:space="preserve">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В задании </w:t>
      </w:r>
      <w:r>
        <w:rPr>
          <w:sz w:val="28"/>
          <w:szCs w:val="28"/>
        </w:rPr>
        <w:t>13</w:t>
      </w:r>
      <w:r w:rsidRPr="00E23ADC">
        <w:rPr>
          <w:sz w:val="28"/>
          <w:szCs w:val="28"/>
        </w:rPr>
        <w:t xml:space="preserve"> проверяется умение находить значение арифметического выражения с натуральными числами, содержащего скобки.</w:t>
      </w:r>
    </w:p>
    <w:p w14:paraId="036E4890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Задание 15</w:t>
      </w:r>
      <w:r w:rsidRPr="00E23ADC">
        <w:rPr>
          <w:sz w:val="28"/>
          <w:szCs w:val="28"/>
        </w:rPr>
        <w:t xml:space="preserve">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38E27A0E" w14:textId="30C56812" w:rsidR="00230F30" w:rsidRDefault="00230F30" w:rsidP="00230F30">
      <w:pPr>
        <w:pStyle w:val="Default"/>
        <w:tabs>
          <w:tab w:val="left" w:pos="900"/>
        </w:tabs>
        <w:ind w:firstLine="539"/>
        <w:jc w:val="both"/>
        <w:rPr>
          <w:sz w:val="28"/>
          <w:szCs w:val="28"/>
        </w:rPr>
      </w:pPr>
      <w:r w:rsidRPr="00E23ADC">
        <w:rPr>
          <w:sz w:val="28"/>
          <w:szCs w:val="28"/>
        </w:rPr>
        <w:t>Каждое верно выполненное задание 1– 8,</w:t>
      </w:r>
      <w:r>
        <w:rPr>
          <w:sz w:val="28"/>
          <w:szCs w:val="28"/>
        </w:rPr>
        <w:t xml:space="preserve"> 9</w:t>
      </w:r>
      <w:r w:rsidRPr="00E23ADC">
        <w:rPr>
          <w:sz w:val="28"/>
          <w:szCs w:val="28"/>
        </w:rPr>
        <w:t xml:space="preserve"> (пункт 1), </w:t>
      </w:r>
      <w:r>
        <w:rPr>
          <w:sz w:val="28"/>
          <w:szCs w:val="28"/>
        </w:rPr>
        <w:t>9</w:t>
      </w:r>
      <w:r w:rsidRPr="00E23ADC">
        <w:rPr>
          <w:sz w:val="28"/>
          <w:szCs w:val="28"/>
        </w:rPr>
        <w:t xml:space="preserve"> (пункт 2), 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</w:t>
      </w:r>
      <w:r>
        <w:rPr>
          <w:sz w:val="28"/>
          <w:szCs w:val="28"/>
        </w:rPr>
        <w:t>11 -1</w:t>
      </w:r>
      <w:r w:rsidR="00BA4A67">
        <w:rPr>
          <w:sz w:val="28"/>
          <w:szCs w:val="28"/>
        </w:rPr>
        <w:t>2, 14-15</w:t>
      </w:r>
      <w:r w:rsidRPr="00E23ADC">
        <w:rPr>
          <w:sz w:val="28"/>
          <w:szCs w:val="28"/>
        </w:rPr>
        <w:t xml:space="preserve"> оценивается от 0 до 2 баллов. Итого, максимальное количество баллов за работу  2</w:t>
      </w:r>
      <w:r w:rsidR="008446BE">
        <w:rPr>
          <w:sz w:val="28"/>
          <w:szCs w:val="28"/>
        </w:rPr>
        <w:t>0</w:t>
      </w:r>
      <w:r w:rsidRPr="00E23ADC">
        <w:rPr>
          <w:sz w:val="28"/>
          <w:szCs w:val="28"/>
        </w:rPr>
        <w:t>. Время выполнения работы – 60 минут.</w:t>
      </w:r>
    </w:p>
    <w:p w14:paraId="63713856" w14:textId="77777777" w:rsidR="00230F30" w:rsidRDefault="00230F30" w:rsidP="00230F30">
      <w:pPr>
        <w:ind w:firstLine="540"/>
        <w:jc w:val="both"/>
        <w:rPr>
          <w:sz w:val="28"/>
          <w:szCs w:val="28"/>
        </w:rPr>
      </w:pPr>
    </w:p>
    <w:p w14:paraId="098B1F80" w14:textId="77777777" w:rsidR="00230F30" w:rsidRPr="00E23ADC" w:rsidRDefault="00230F30" w:rsidP="00230F30">
      <w:pPr>
        <w:ind w:firstLine="540"/>
        <w:jc w:val="both"/>
        <w:rPr>
          <w:sz w:val="28"/>
          <w:szCs w:val="28"/>
        </w:rPr>
      </w:pPr>
      <w:r w:rsidRPr="00E23ADC">
        <w:rPr>
          <w:sz w:val="28"/>
          <w:szCs w:val="28"/>
        </w:rPr>
        <w:t xml:space="preserve">Составителями была определена шкала пересчета первичных баллов в отметку по пятибалльной шкале (Таблица 1). </w:t>
      </w:r>
    </w:p>
    <w:p w14:paraId="39442653" w14:textId="77777777" w:rsidR="00230F30" w:rsidRPr="006B2458" w:rsidRDefault="00230F30" w:rsidP="00230F30">
      <w:pPr>
        <w:ind w:firstLine="540"/>
        <w:jc w:val="right"/>
        <w:rPr>
          <w:i/>
          <w:sz w:val="20"/>
          <w:szCs w:val="20"/>
        </w:rPr>
      </w:pPr>
      <w:r w:rsidRPr="006B2458">
        <w:rPr>
          <w:i/>
          <w:sz w:val="20"/>
          <w:szCs w:val="20"/>
        </w:rPr>
        <w:t>Таблица 1. Шкала пересчета первичных баллов в отметку</w:t>
      </w:r>
    </w:p>
    <w:p w14:paraId="067F1A2B" w14:textId="77777777" w:rsidR="00230F30" w:rsidRPr="006B2458" w:rsidRDefault="00230F30" w:rsidP="00230F30">
      <w:pPr>
        <w:ind w:firstLine="540"/>
        <w:jc w:val="right"/>
        <w:rPr>
          <w:i/>
          <w:sz w:val="20"/>
          <w:szCs w:val="20"/>
        </w:rPr>
      </w:pPr>
      <w:r w:rsidRPr="006B2458">
        <w:rPr>
          <w:i/>
          <w:sz w:val="20"/>
          <w:szCs w:val="20"/>
        </w:rPr>
        <w:t xml:space="preserve">по пятибалльной шкале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080"/>
        <w:gridCol w:w="1080"/>
        <w:gridCol w:w="1080"/>
        <w:gridCol w:w="1003"/>
      </w:tblGrid>
      <w:tr w:rsidR="00230F30" w:rsidRPr="00EB1339" w14:paraId="620A8487" w14:textId="77777777" w:rsidTr="00230F30">
        <w:trPr>
          <w:jc w:val="center"/>
        </w:trPr>
        <w:tc>
          <w:tcPr>
            <w:tcW w:w="5328" w:type="dxa"/>
            <w:shd w:val="clear" w:color="auto" w:fill="auto"/>
          </w:tcPr>
          <w:p w14:paraId="551B9932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F18FB">
              <w:rPr>
                <w:b/>
                <w:bCs/>
              </w:rPr>
              <w:t>Отметка по пятибалльной шкале</w:t>
            </w:r>
          </w:p>
        </w:tc>
        <w:tc>
          <w:tcPr>
            <w:tcW w:w="1080" w:type="dxa"/>
            <w:shd w:val="clear" w:color="auto" w:fill="auto"/>
          </w:tcPr>
          <w:p w14:paraId="1ED0E823" w14:textId="77777777" w:rsidR="00230F30" w:rsidRPr="005F18FB" w:rsidRDefault="00230F30" w:rsidP="00230F30">
            <w:pPr>
              <w:jc w:val="center"/>
              <w:rPr>
                <w:b/>
              </w:rPr>
            </w:pPr>
            <w:r w:rsidRPr="005F18FB">
              <w:rPr>
                <w:b/>
              </w:rPr>
              <w:t>«2»</w:t>
            </w:r>
          </w:p>
        </w:tc>
        <w:tc>
          <w:tcPr>
            <w:tcW w:w="1080" w:type="dxa"/>
            <w:shd w:val="clear" w:color="auto" w:fill="auto"/>
          </w:tcPr>
          <w:p w14:paraId="4F663971" w14:textId="77777777" w:rsidR="00230F30" w:rsidRPr="005F18FB" w:rsidRDefault="00230F30" w:rsidP="00230F30">
            <w:pPr>
              <w:jc w:val="center"/>
              <w:rPr>
                <w:b/>
              </w:rPr>
            </w:pPr>
            <w:r w:rsidRPr="005F18FB">
              <w:rPr>
                <w:b/>
              </w:rPr>
              <w:t>«3»</w:t>
            </w:r>
          </w:p>
        </w:tc>
        <w:tc>
          <w:tcPr>
            <w:tcW w:w="1080" w:type="dxa"/>
            <w:shd w:val="clear" w:color="auto" w:fill="auto"/>
          </w:tcPr>
          <w:p w14:paraId="1FB67CC5" w14:textId="77777777" w:rsidR="00230F30" w:rsidRPr="005F18FB" w:rsidRDefault="00230F30" w:rsidP="00230F30">
            <w:pPr>
              <w:jc w:val="center"/>
              <w:rPr>
                <w:b/>
              </w:rPr>
            </w:pPr>
            <w:r w:rsidRPr="005F18FB">
              <w:rPr>
                <w:b/>
              </w:rPr>
              <w:t>«4»</w:t>
            </w:r>
          </w:p>
        </w:tc>
        <w:tc>
          <w:tcPr>
            <w:tcW w:w="1003" w:type="dxa"/>
            <w:shd w:val="clear" w:color="auto" w:fill="auto"/>
          </w:tcPr>
          <w:p w14:paraId="36DD4771" w14:textId="77777777" w:rsidR="00230F30" w:rsidRPr="005F18FB" w:rsidRDefault="00230F30" w:rsidP="00230F30">
            <w:pPr>
              <w:jc w:val="center"/>
              <w:rPr>
                <w:b/>
              </w:rPr>
            </w:pPr>
            <w:r w:rsidRPr="005F18FB">
              <w:rPr>
                <w:b/>
              </w:rPr>
              <w:t>«5»</w:t>
            </w:r>
          </w:p>
        </w:tc>
      </w:tr>
      <w:tr w:rsidR="00230F30" w:rsidRPr="00EB1339" w14:paraId="4CE099AA" w14:textId="77777777" w:rsidTr="00230F30">
        <w:trPr>
          <w:jc w:val="center"/>
        </w:trPr>
        <w:tc>
          <w:tcPr>
            <w:tcW w:w="5328" w:type="dxa"/>
            <w:shd w:val="clear" w:color="auto" w:fill="auto"/>
          </w:tcPr>
          <w:p w14:paraId="488B1E03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F18FB">
              <w:rPr>
                <w:b/>
                <w:bCs/>
              </w:rPr>
              <w:t>Общий балл</w:t>
            </w:r>
          </w:p>
        </w:tc>
        <w:tc>
          <w:tcPr>
            <w:tcW w:w="1080" w:type="dxa"/>
            <w:shd w:val="clear" w:color="auto" w:fill="auto"/>
          </w:tcPr>
          <w:p w14:paraId="1C0B334E" w14:textId="77777777" w:rsidR="00230F30" w:rsidRPr="00EB1339" w:rsidRDefault="00230F30" w:rsidP="00230F30">
            <w:pPr>
              <w:jc w:val="center"/>
            </w:pPr>
            <w:r>
              <w:t>0-6</w:t>
            </w:r>
          </w:p>
        </w:tc>
        <w:tc>
          <w:tcPr>
            <w:tcW w:w="1080" w:type="dxa"/>
            <w:shd w:val="clear" w:color="auto" w:fill="auto"/>
          </w:tcPr>
          <w:p w14:paraId="74BC057C" w14:textId="77777777" w:rsidR="00230F30" w:rsidRPr="00EB1339" w:rsidRDefault="00230F30" w:rsidP="00230F30">
            <w:pPr>
              <w:jc w:val="center"/>
            </w:pPr>
            <w:r>
              <w:t>7</w:t>
            </w:r>
            <w:r w:rsidRPr="00EB1339">
              <w:t>-</w:t>
            </w:r>
            <w:r>
              <w:t>10</w:t>
            </w:r>
          </w:p>
        </w:tc>
        <w:tc>
          <w:tcPr>
            <w:tcW w:w="1080" w:type="dxa"/>
            <w:shd w:val="clear" w:color="auto" w:fill="auto"/>
          </w:tcPr>
          <w:p w14:paraId="6C2B5131" w14:textId="77777777" w:rsidR="00230F30" w:rsidRPr="00EB1339" w:rsidRDefault="00230F30" w:rsidP="00230F30">
            <w:pPr>
              <w:jc w:val="center"/>
            </w:pPr>
            <w:r>
              <w:t>11</w:t>
            </w:r>
            <w:r w:rsidRPr="00EB1339">
              <w:t>-</w:t>
            </w:r>
            <w:r>
              <w:t>14</w:t>
            </w:r>
          </w:p>
        </w:tc>
        <w:tc>
          <w:tcPr>
            <w:tcW w:w="1003" w:type="dxa"/>
            <w:shd w:val="clear" w:color="auto" w:fill="auto"/>
          </w:tcPr>
          <w:p w14:paraId="54D6BB69" w14:textId="77777777" w:rsidR="00230F30" w:rsidRPr="00EB1339" w:rsidRDefault="00230F30" w:rsidP="00230F30">
            <w:pPr>
              <w:jc w:val="center"/>
            </w:pPr>
            <w:r>
              <w:t>15-20</w:t>
            </w:r>
          </w:p>
        </w:tc>
      </w:tr>
    </w:tbl>
    <w:p w14:paraId="5F73E586" w14:textId="77777777" w:rsidR="00230F30" w:rsidRDefault="00230F30" w:rsidP="00230F30">
      <w:pPr>
        <w:ind w:firstLine="540"/>
        <w:jc w:val="center"/>
        <w:rPr>
          <w:bCs/>
        </w:rPr>
      </w:pPr>
    </w:p>
    <w:p w14:paraId="7C392C8E" w14:textId="77777777" w:rsidR="00230F30" w:rsidRDefault="00230F30" w:rsidP="00230F30">
      <w:pPr>
        <w:ind w:firstLine="540"/>
        <w:jc w:val="center"/>
        <w:rPr>
          <w:bCs/>
        </w:rPr>
      </w:pPr>
    </w:p>
    <w:p w14:paraId="386F2C7D" w14:textId="059DDAA0" w:rsidR="00230F30" w:rsidRPr="002A6488" w:rsidRDefault="00BF393B" w:rsidP="00230F30">
      <w:pPr>
        <w:ind w:firstLine="540"/>
        <w:jc w:val="center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Кумская</w:t>
      </w:r>
      <w:proofErr w:type="spellEnd"/>
      <w:r>
        <w:rPr>
          <w:b/>
          <w:i/>
          <w:sz w:val="26"/>
          <w:szCs w:val="26"/>
        </w:rPr>
        <w:t xml:space="preserve"> школа</w:t>
      </w:r>
    </w:p>
    <w:p w14:paraId="1C0A7647" w14:textId="77777777" w:rsidR="00230F30" w:rsidRDefault="00230F30" w:rsidP="00230F30">
      <w:pPr>
        <w:ind w:firstLine="540"/>
        <w:jc w:val="right"/>
        <w:rPr>
          <w:i/>
          <w:sz w:val="20"/>
          <w:szCs w:val="20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2900"/>
        <w:gridCol w:w="2846"/>
        <w:gridCol w:w="1714"/>
        <w:gridCol w:w="1679"/>
      </w:tblGrid>
      <w:tr w:rsidR="008A4F3D" w:rsidRPr="005F18FB" w14:paraId="5FF0FFE4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5868447A" w14:textId="77777777" w:rsidR="00230F30" w:rsidRPr="005F18FB" w:rsidRDefault="00230F30" w:rsidP="00230F30">
            <w:pPr>
              <w:jc w:val="center"/>
              <w:rPr>
                <w:b/>
              </w:rPr>
            </w:pPr>
            <w:r w:rsidRPr="005F18FB">
              <w:rPr>
                <w:b/>
              </w:rPr>
              <w:t>№ задания</w:t>
            </w:r>
          </w:p>
        </w:tc>
        <w:tc>
          <w:tcPr>
            <w:tcW w:w="3004" w:type="dxa"/>
            <w:shd w:val="clear" w:color="auto" w:fill="auto"/>
          </w:tcPr>
          <w:p w14:paraId="3317EF7C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F18FB">
              <w:rPr>
                <w:b/>
                <w:sz w:val="22"/>
                <w:szCs w:val="22"/>
              </w:rPr>
              <w:t>Умения, виды деятельности (в соответствии с ФГОС)</w:t>
            </w:r>
          </w:p>
        </w:tc>
        <w:tc>
          <w:tcPr>
            <w:tcW w:w="2948" w:type="dxa"/>
            <w:shd w:val="clear" w:color="auto" w:fill="auto"/>
          </w:tcPr>
          <w:p w14:paraId="384B48DB" w14:textId="77777777" w:rsidR="00230F30" w:rsidRPr="005F18FB" w:rsidRDefault="00230F30" w:rsidP="00230F30">
            <w:pPr>
              <w:jc w:val="center"/>
              <w:rPr>
                <w:b/>
                <w:sz w:val="22"/>
                <w:szCs w:val="22"/>
              </w:rPr>
            </w:pPr>
            <w:r w:rsidRPr="005F18FB">
              <w:rPr>
                <w:b/>
                <w:sz w:val="22"/>
                <w:szCs w:val="22"/>
              </w:rPr>
              <w:t xml:space="preserve">Блоки ПООП НОО: выпускник научится / </w:t>
            </w:r>
            <w:r w:rsidRPr="005F18FB">
              <w:rPr>
                <w:b/>
                <w:i/>
                <w:iCs/>
                <w:sz w:val="22"/>
                <w:szCs w:val="22"/>
              </w:rPr>
              <w:t>получит возможность научиться</w:t>
            </w:r>
          </w:p>
        </w:tc>
        <w:tc>
          <w:tcPr>
            <w:tcW w:w="1718" w:type="dxa"/>
            <w:shd w:val="clear" w:color="auto" w:fill="auto"/>
          </w:tcPr>
          <w:p w14:paraId="3B36C71C" w14:textId="7E3A2D49" w:rsidR="00230F30" w:rsidRPr="005F18FB" w:rsidRDefault="008A4F3D" w:rsidP="008A4F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КумскаяСОШ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230F30">
              <w:rPr>
                <w:b/>
                <w:sz w:val="22"/>
                <w:szCs w:val="22"/>
              </w:rPr>
              <w:t>Количество учащихся выполнивший задание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</w:tcPr>
          <w:p w14:paraId="3F8156F0" w14:textId="1FF14C18" w:rsidR="00230F30" w:rsidRPr="005F18FB" w:rsidRDefault="008A4F3D" w:rsidP="008A4F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Цаган-Нур</w:t>
            </w:r>
            <w:proofErr w:type="spellEnd"/>
            <w:r>
              <w:rPr>
                <w:b/>
                <w:sz w:val="22"/>
                <w:szCs w:val="22"/>
              </w:rPr>
              <w:t xml:space="preserve"> СОШ </w:t>
            </w:r>
            <w:r>
              <w:rPr>
                <w:b/>
                <w:sz w:val="22"/>
                <w:szCs w:val="22"/>
              </w:rPr>
              <w:t>Количество учащихся выполнивший задание/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8A4F3D" w:rsidRPr="005F18FB" w14:paraId="07636484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3B95AB57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77DAF674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 xml:space="preserve">Развитие представлений о числе и числовых системах </w:t>
            </w:r>
            <w:r>
              <w:rPr>
                <w:sz w:val="22"/>
                <w:szCs w:val="22"/>
              </w:rPr>
              <w:t xml:space="preserve">целых </w:t>
            </w:r>
            <w:r w:rsidRPr="005F18FB">
              <w:rPr>
                <w:sz w:val="22"/>
                <w:szCs w:val="22"/>
              </w:rPr>
              <w:t>чисел</w:t>
            </w:r>
          </w:p>
        </w:tc>
        <w:tc>
          <w:tcPr>
            <w:tcW w:w="2948" w:type="dxa"/>
            <w:shd w:val="clear" w:color="auto" w:fill="auto"/>
          </w:tcPr>
          <w:p w14:paraId="262DB5C8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Оперировать на базовом уровне понятием «</w:t>
            </w:r>
            <w:r>
              <w:rPr>
                <w:sz w:val="22"/>
                <w:szCs w:val="22"/>
              </w:rPr>
              <w:t>целые числа</w:t>
            </w:r>
            <w:r w:rsidRPr="005F18FB">
              <w:rPr>
                <w:sz w:val="22"/>
                <w:szCs w:val="22"/>
              </w:rPr>
              <w:t>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2A37407" w14:textId="76386E39" w:rsidR="00230F30" w:rsidRPr="00512ECB" w:rsidRDefault="008700F4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0/0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3A6F721" w14:textId="22014D88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7/63%</w:t>
            </w:r>
          </w:p>
        </w:tc>
      </w:tr>
      <w:tr w:rsidR="008A4F3D" w:rsidRPr="005F18FB" w14:paraId="0B1BAC36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0B13BFEC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0FB67B68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48" w:type="dxa"/>
            <w:shd w:val="clear" w:color="auto" w:fill="auto"/>
          </w:tcPr>
          <w:p w14:paraId="66A900DF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Решать задачи на нахождение части числа и числа по его части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C935EC6" w14:textId="4B78113E" w:rsidR="00230F30" w:rsidRPr="00512ECB" w:rsidRDefault="00230F30" w:rsidP="00870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700F4">
              <w:rPr>
                <w:bCs/>
                <w:color w:val="000000"/>
                <w:sz w:val="28"/>
                <w:szCs w:val="28"/>
              </w:rPr>
              <w:t>/60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CA7C41F" w14:textId="7FC67232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0/0%</w:t>
            </w:r>
          </w:p>
        </w:tc>
      </w:tr>
      <w:tr w:rsidR="008A4F3D" w:rsidRPr="005F18FB" w14:paraId="4B49BC0C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3FAA4A04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02E6505A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48" w:type="dxa"/>
            <w:shd w:val="clear" w:color="auto" w:fill="auto"/>
          </w:tcPr>
          <w:p w14:paraId="58A53874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Оперировать на базовом уровне понятием «</w:t>
            </w:r>
            <w:r>
              <w:rPr>
                <w:sz w:val="22"/>
                <w:szCs w:val="22"/>
              </w:rPr>
              <w:t xml:space="preserve">обыкновенная </w:t>
            </w:r>
            <w:r w:rsidRPr="005F18FB">
              <w:rPr>
                <w:sz w:val="22"/>
                <w:szCs w:val="22"/>
              </w:rPr>
              <w:t xml:space="preserve"> дробь»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57396FA" w14:textId="54CA7F7F" w:rsidR="00230F30" w:rsidRPr="00512ECB" w:rsidRDefault="00230F30" w:rsidP="00870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700F4">
              <w:rPr>
                <w:bCs/>
                <w:color w:val="000000"/>
                <w:sz w:val="28"/>
                <w:szCs w:val="28"/>
              </w:rPr>
              <w:t>/60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E73E7AF" w14:textId="027A5B84" w:rsidR="00230F30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1/11%</w:t>
            </w:r>
          </w:p>
          <w:p w14:paraId="4F8C0FDF" w14:textId="77777777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A4F3D" w:rsidRPr="005F18FB" w14:paraId="09265BFC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66BFF09F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6C7F02EA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Овладение приемами выполнения тождественных преобразований выражений</w:t>
            </w:r>
          </w:p>
          <w:p w14:paraId="5F9FAE36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14:paraId="0BEB3A57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Оперировать на базовом уровне понятием «</w:t>
            </w:r>
            <w:r>
              <w:rPr>
                <w:sz w:val="22"/>
                <w:szCs w:val="22"/>
              </w:rPr>
              <w:t xml:space="preserve">обыкновенная </w:t>
            </w:r>
            <w:r w:rsidRPr="005F18FB">
              <w:rPr>
                <w:sz w:val="22"/>
                <w:szCs w:val="22"/>
              </w:rPr>
              <w:t xml:space="preserve"> дробь»</w:t>
            </w:r>
            <w:r>
              <w:rPr>
                <w:sz w:val="22"/>
                <w:szCs w:val="22"/>
              </w:rPr>
              <w:t xml:space="preserve">, выполнять </w:t>
            </w:r>
            <w:r w:rsidRPr="005F18FB">
              <w:rPr>
                <w:sz w:val="22"/>
                <w:szCs w:val="22"/>
              </w:rPr>
              <w:t>арифметические действия</w:t>
            </w:r>
            <w:r>
              <w:rPr>
                <w:sz w:val="22"/>
                <w:szCs w:val="22"/>
              </w:rPr>
              <w:t xml:space="preserve"> с обыкновенными </w:t>
            </w:r>
            <w:r>
              <w:rPr>
                <w:sz w:val="22"/>
                <w:szCs w:val="22"/>
              </w:rPr>
              <w:lastRenderedPageBreak/>
              <w:t>дробями.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A29E496" w14:textId="5105A032" w:rsidR="00230F30" w:rsidRPr="00512ECB" w:rsidRDefault="00230F30" w:rsidP="00870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  <w:r w:rsidR="008700F4">
              <w:rPr>
                <w:bCs/>
                <w:color w:val="000000"/>
                <w:sz w:val="28"/>
                <w:szCs w:val="28"/>
              </w:rPr>
              <w:t>/40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332530" w14:textId="72A64411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0/0%</w:t>
            </w:r>
          </w:p>
        </w:tc>
      </w:tr>
      <w:tr w:rsidR="008A4F3D" w:rsidRPr="005F18FB" w14:paraId="4282589C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1FA39935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623944BE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2948" w:type="dxa"/>
            <w:shd w:val="clear" w:color="auto" w:fill="auto"/>
          </w:tcPr>
          <w:p w14:paraId="4A0F1998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делители и кратные чисел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055BDA0" w14:textId="1CAC5D49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700F4">
              <w:rPr>
                <w:bCs/>
                <w:color w:val="000000"/>
                <w:sz w:val="28"/>
                <w:szCs w:val="28"/>
              </w:rPr>
              <w:t>/100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3458820F" w14:textId="6F8E2F84" w:rsidR="00230F30" w:rsidRPr="008A4F3D" w:rsidRDefault="008A4F3D" w:rsidP="008A4F3D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7/63%</w:t>
            </w:r>
          </w:p>
        </w:tc>
      </w:tr>
      <w:tr w:rsidR="008A4F3D" w:rsidRPr="005F18FB" w14:paraId="5CB5DF33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1D8E2660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7162F236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948" w:type="dxa"/>
            <w:shd w:val="clear" w:color="auto" w:fill="auto"/>
          </w:tcPr>
          <w:p w14:paraId="7BF2EA70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118CF63" w14:textId="1E57C906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700F4">
              <w:rPr>
                <w:bCs/>
                <w:color w:val="000000"/>
                <w:sz w:val="28"/>
                <w:szCs w:val="28"/>
              </w:rPr>
              <w:t>/60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FD8D6D1" w14:textId="738E6473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8/72%</w:t>
            </w:r>
          </w:p>
        </w:tc>
      </w:tr>
      <w:tr w:rsidR="008A4F3D" w:rsidRPr="005F18FB" w14:paraId="09A9E888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4840881C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6EB2792E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  <w:p w14:paraId="4FDFBFD6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14:paraId="55CF64C2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0595586" w14:textId="5AAE4656" w:rsidR="00230F30" w:rsidRPr="00512ECB" w:rsidRDefault="00230F30" w:rsidP="00870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700F4">
              <w:rPr>
                <w:bCs/>
                <w:color w:val="000000"/>
                <w:sz w:val="28"/>
                <w:szCs w:val="28"/>
              </w:rPr>
              <w:t>/100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E32B07F" w14:textId="657FA54F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2/18%</w:t>
            </w:r>
          </w:p>
        </w:tc>
      </w:tr>
      <w:tr w:rsidR="008A4F3D" w:rsidRPr="005F18FB" w14:paraId="2003645E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564A6E90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00807D42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проводить логические обоснования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5C51F284" w14:textId="77777777" w:rsidR="00230F30" w:rsidRPr="005F18FB" w:rsidRDefault="00230F30" w:rsidP="00230F30">
            <w:pPr>
              <w:jc w:val="center"/>
              <w:rPr>
                <w:sz w:val="22"/>
                <w:szCs w:val="22"/>
              </w:rPr>
            </w:pPr>
            <w:r w:rsidRPr="005F18FB">
              <w:rPr>
                <w:iCs/>
                <w:sz w:val="22"/>
                <w:szCs w:val="22"/>
              </w:rPr>
              <w:t xml:space="preserve">Решать простые задачи </w:t>
            </w:r>
            <w:r>
              <w:rPr>
                <w:iCs/>
                <w:sz w:val="22"/>
                <w:szCs w:val="22"/>
              </w:rPr>
              <w:t>на рассуждение</w:t>
            </w:r>
            <w:r w:rsidRPr="005F18FB">
              <w:rPr>
                <w:iCs/>
                <w:sz w:val="22"/>
                <w:szCs w:val="22"/>
              </w:rPr>
              <w:t xml:space="preserve"> разных типов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D18BDE" w14:textId="102579CC" w:rsidR="00230F30" w:rsidRPr="00512ECB" w:rsidRDefault="00230F30" w:rsidP="00870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700F4">
              <w:rPr>
                <w:bCs/>
                <w:color w:val="000000"/>
                <w:sz w:val="28"/>
                <w:szCs w:val="28"/>
              </w:rPr>
              <w:t>0/60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7EFA7C0" w14:textId="2A286FEE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10/90%</w:t>
            </w:r>
          </w:p>
        </w:tc>
      </w:tr>
      <w:tr w:rsidR="008A4F3D" w:rsidRPr="005F18FB" w14:paraId="55CA4257" w14:textId="77777777" w:rsidTr="00230F30">
        <w:trPr>
          <w:jc w:val="center"/>
        </w:trPr>
        <w:tc>
          <w:tcPr>
            <w:tcW w:w="1131" w:type="dxa"/>
            <w:vMerge w:val="restart"/>
            <w:shd w:val="clear" w:color="auto" w:fill="auto"/>
          </w:tcPr>
          <w:p w14:paraId="3D2E280A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2EC2E2D2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948" w:type="dxa"/>
            <w:shd w:val="clear" w:color="auto" w:fill="auto"/>
          </w:tcPr>
          <w:p w14:paraId="05846E4E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Вычислять расстояния на местности в стандартных ситуациях</w:t>
            </w:r>
          </w:p>
          <w:p w14:paraId="44885BE9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E3ACE9D" w14:textId="4A31BF34" w:rsidR="00230F30" w:rsidRPr="00512ECB" w:rsidRDefault="00230F30" w:rsidP="00870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700F4">
              <w:rPr>
                <w:bCs/>
                <w:color w:val="000000"/>
                <w:sz w:val="28"/>
                <w:szCs w:val="28"/>
              </w:rPr>
              <w:t>/100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115361F" w14:textId="7904D251" w:rsidR="00230F30" w:rsidRPr="00512ECB" w:rsidRDefault="008A4F3D" w:rsidP="008A4F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6/54%</w:t>
            </w:r>
          </w:p>
        </w:tc>
      </w:tr>
      <w:tr w:rsidR="008A4F3D" w:rsidRPr="005F18FB" w14:paraId="32F12D31" w14:textId="77777777" w:rsidTr="00230F30">
        <w:trPr>
          <w:jc w:val="center"/>
        </w:trPr>
        <w:tc>
          <w:tcPr>
            <w:tcW w:w="1131" w:type="dxa"/>
            <w:vMerge/>
            <w:shd w:val="clear" w:color="auto" w:fill="auto"/>
          </w:tcPr>
          <w:p w14:paraId="4B5FDFD8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381B2BF3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  <w:p w14:paraId="0571D1E3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14:paraId="7A8DA550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70BE294" w14:textId="00400985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700F4">
              <w:rPr>
                <w:bCs/>
                <w:color w:val="000000"/>
                <w:sz w:val="28"/>
                <w:szCs w:val="28"/>
              </w:rPr>
              <w:t>/100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E000CA1" w14:textId="49055846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3/27%</w:t>
            </w:r>
          </w:p>
        </w:tc>
      </w:tr>
      <w:tr w:rsidR="008A4F3D" w:rsidRPr="005F18FB" w14:paraId="76ED6A01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695F8D2F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11B842DB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Развитие умений моделирования реальных ситуаций на языке геометрии, развитие изобразительных умений</w:t>
            </w:r>
            <w:r>
              <w:rPr>
                <w:sz w:val="22"/>
                <w:szCs w:val="22"/>
              </w:rPr>
              <w:t>.</w:t>
            </w:r>
            <w:r w:rsidRPr="005F18FB">
              <w:rPr>
                <w:sz w:val="22"/>
                <w:szCs w:val="22"/>
              </w:rPr>
              <w:t xml:space="preserve"> Развитие пространственных представлений</w:t>
            </w:r>
          </w:p>
          <w:p w14:paraId="64E98BEC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A9B7B2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14:paraId="7FF91521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Оперировать на базовом уровне понятиями: «прямоугольный параллелепипед», «куб», «шар»</w:t>
            </w:r>
            <w:r>
              <w:rPr>
                <w:sz w:val="22"/>
                <w:szCs w:val="22"/>
              </w:rPr>
              <w:t xml:space="preserve">. </w:t>
            </w:r>
            <w:r w:rsidRPr="005F18FB">
              <w:rPr>
                <w:sz w:val="22"/>
                <w:szCs w:val="22"/>
              </w:rPr>
              <w:t>Выполнять простейшие построения и измерения на местности, необходимые в реальной жизни</w:t>
            </w:r>
            <w:r>
              <w:rPr>
                <w:sz w:val="22"/>
                <w:szCs w:val="22"/>
              </w:rPr>
              <w:t>.</w:t>
            </w:r>
            <w:r w:rsidRPr="005F1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1ACA1BB" w14:textId="7EB24196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8700F4">
              <w:rPr>
                <w:bCs/>
                <w:color w:val="000000"/>
                <w:sz w:val="28"/>
                <w:szCs w:val="28"/>
              </w:rPr>
              <w:t>/80</w:t>
            </w:r>
            <w:r w:rsidR="008700F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6C53776" w14:textId="58C85A2F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3/27%</w:t>
            </w:r>
          </w:p>
        </w:tc>
      </w:tr>
      <w:tr w:rsidR="008A4F3D" w:rsidRPr="005F18FB" w14:paraId="74F66888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0D0894CA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1D40B691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948" w:type="dxa"/>
            <w:shd w:val="clear" w:color="auto" w:fill="auto"/>
          </w:tcPr>
          <w:p w14:paraId="56A8A075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Решать несложные сюжетные задачи разных типов на все арифметические действия</w:t>
            </w:r>
          </w:p>
          <w:p w14:paraId="1E2082CB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60467ADD" w14:textId="760D64DB" w:rsidR="00230F30" w:rsidRPr="00512ECB" w:rsidRDefault="00230F30" w:rsidP="008A4F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8A4F3D">
              <w:rPr>
                <w:bCs/>
                <w:color w:val="000000"/>
                <w:sz w:val="28"/>
                <w:szCs w:val="28"/>
              </w:rPr>
              <w:t>/6</w:t>
            </w:r>
            <w:r w:rsidR="008A4F3D">
              <w:rPr>
                <w:bCs/>
                <w:color w:val="000000"/>
                <w:sz w:val="28"/>
                <w:szCs w:val="28"/>
              </w:rPr>
              <w:t>0</w:t>
            </w:r>
            <w:r w:rsidR="008A4F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AE45751" w14:textId="2F0D3220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2/18%</w:t>
            </w:r>
          </w:p>
        </w:tc>
      </w:tr>
      <w:tr w:rsidR="008A4F3D" w:rsidRPr="005F18FB" w14:paraId="138CA1E0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2C152CC2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4362D1FD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</w:t>
            </w:r>
            <w:r w:rsidRPr="005F18FB">
              <w:rPr>
                <w:sz w:val="22"/>
                <w:szCs w:val="22"/>
              </w:rPr>
              <w:lastRenderedPageBreak/>
              <w:t>дисциплин</w:t>
            </w:r>
          </w:p>
          <w:p w14:paraId="411EA3A3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14:paraId="4F787E0E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lastRenderedPageBreak/>
              <w:t xml:space="preserve">Решать задачи разных типов (на работу, на движение), связывающих три величины; выделять эти величины и отношения между ними; знать </w:t>
            </w:r>
            <w:r w:rsidRPr="005F18FB">
              <w:rPr>
                <w:sz w:val="22"/>
                <w:szCs w:val="22"/>
              </w:rPr>
              <w:lastRenderedPageBreak/>
              <w:t>различие скоростей объекта в стоячей воде, против течения и по течению реки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C88B0C2" w14:textId="1665AD48" w:rsidR="00230F30" w:rsidRPr="00512ECB" w:rsidRDefault="00230F30" w:rsidP="008A4F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  <w:r w:rsidR="008A4F3D">
              <w:rPr>
                <w:bCs/>
                <w:color w:val="000000"/>
                <w:sz w:val="28"/>
                <w:szCs w:val="28"/>
              </w:rPr>
              <w:t>/60</w:t>
            </w:r>
            <w:r w:rsidR="008A4F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F1DBDF" w14:textId="085DC72C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3/27%</w:t>
            </w:r>
          </w:p>
        </w:tc>
      </w:tr>
      <w:tr w:rsidR="008A4F3D" w:rsidRPr="005F18FB" w14:paraId="0CCB57AB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152ADA22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27FF06F8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Овладение навыками письменных вычислений</w:t>
            </w:r>
          </w:p>
        </w:tc>
        <w:tc>
          <w:tcPr>
            <w:tcW w:w="2948" w:type="dxa"/>
            <w:shd w:val="clear" w:color="auto" w:fill="auto"/>
          </w:tcPr>
          <w:p w14:paraId="7DBB2FE8" w14:textId="05A5B438" w:rsidR="00230F30" w:rsidRPr="00125A42" w:rsidRDefault="00230F30" w:rsidP="00230F3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125A42">
              <w:rPr>
                <w:sz w:val="22"/>
                <w:szCs w:val="22"/>
              </w:rPr>
              <w:t xml:space="preserve">Использовать свойства чисел и правила действий с рациональными числами при выполнении вычислений / </w:t>
            </w:r>
            <w:r w:rsidRPr="00125A42">
              <w:rPr>
                <w:i/>
                <w:iCs/>
                <w:sz w:val="22"/>
                <w:szCs w:val="22"/>
              </w:rPr>
              <w:t xml:space="preserve">выполнять вычисления, в том числе с </w:t>
            </w:r>
            <w:r w:rsidR="008700F4">
              <w:rPr>
                <w:i/>
                <w:iCs/>
                <w:sz w:val="22"/>
                <w:szCs w:val="22"/>
              </w:rPr>
              <w:t>40</w:t>
            </w:r>
            <w:r w:rsidRPr="00125A42">
              <w:rPr>
                <w:i/>
                <w:iCs/>
                <w:sz w:val="22"/>
                <w:szCs w:val="22"/>
              </w:rPr>
              <w:t>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129D2FE" w14:textId="3F1D4F50" w:rsidR="00230F30" w:rsidRPr="00125A42" w:rsidRDefault="00230F30" w:rsidP="008A4F3D">
            <w:pPr>
              <w:jc w:val="center"/>
              <w:rPr>
                <w:bCs/>
                <w:sz w:val="28"/>
                <w:szCs w:val="28"/>
              </w:rPr>
            </w:pPr>
            <w:r w:rsidRPr="00125A42">
              <w:rPr>
                <w:bCs/>
                <w:sz w:val="28"/>
                <w:szCs w:val="28"/>
              </w:rPr>
              <w:t>4</w:t>
            </w:r>
            <w:r w:rsidR="008A4F3D">
              <w:rPr>
                <w:bCs/>
                <w:sz w:val="28"/>
                <w:szCs w:val="28"/>
              </w:rPr>
              <w:t>/60</w:t>
            </w:r>
            <w:r w:rsidR="008A4F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C90098F" w14:textId="126D99F6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3/27%</w:t>
            </w:r>
          </w:p>
        </w:tc>
      </w:tr>
      <w:tr w:rsidR="008A4F3D" w:rsidRPr="005F18FB" w14:paraId="0A977A35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6FEEEEBE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3C49F4FF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948" w:type="dxa"/>
            <w:shd w:val="clear" w:color="auto" w:fill="auto"/>
          </w:tcPr>
          <w:p w14:paraId="7C48ABC8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iCs/>
                <w:sz w:val="22"/>
                <w:szCs w:val="22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AF30CFF" w14:textId="617985D5" w:rsidR="00230F30" w:rsidRPr="00512ECB" w:rsidRDefault="00230F30" w:rsidP="008A4F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8A4F3D">
              <w:rPr>
                <w:bCs/>
                <w:color w:val="000000"/>
                <w:sz w:val="28"/>
                <w:szCs w:val="28"/>
              </w:rPr>
              <w:t>/</w:t>
            </w:r>
            <w:r w:rsidR="008A4F3D">
              <w:rPr>
                <w:bCs/>
                <w:color w:val="000000"/>
                <w:sz w:val="28"/>
                <w:szCs w:val="28"/>
              </w:rPr>
              <w:t>0</w:t>
            </w:r>
            <w:r w:rsidR="008A4F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946577F" w14:textId="11B81CB4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8A4F3D">
              <w:rPr>
                <w:bCs/>
                <w:color w:val="000000"/>
                <w:sz w:val="28"/>
                <w:szCs w:val="28"/>
              </w:rPr>
              <w:t>/0%</w:t>
            </w:r>
          </w:p>
        </w:tc>
      </w:tr>
      <w:tr w:rsidR="008A4F3D" w:rsidRPr="005F18FB" w14:paraId="260B96F2" w14:textId="77777777" w:rsidTr="00230F30">
        <w:trPr>
          <w:jc w:val="center"/>
        </w:trPr>
        <w:tc>
          <w:tcPr>
            <w:tcW w:w="1131" w:type="dxa"/>
            <w:shd w:val="clear" w:color="auto" w:fill="auto"/>
          </w:tcPr>
          <w:p w14:paraId="7037F946" w14:textId="77777777" w:rsidR="00230F30" w:rsidRPr="005F18FB" w:rsidRDefault="00230F30" w:rsidP="00230F30">
            <w:pPr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auto"/>
          </w:tcPr>
          <w:p w14:paraId="2E62F136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2948" w:type="dxa"/>
            <w:shd w:val="clear" w:color="auto" w:fill="auto"/>
          </w:tcPr>
          <w:p w14:paraId="24CC64FC" w14:textId="77777777" w:rsidR="00230F30" w:rsidRPr="005F18FB" w:rsidRDefault="00230F30" w:rsidP="00230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18FB">
              <w:rPr>
                <w:sz w:val="22"/>
                <w:szCs w:val="22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04ACC25" w14:textId="1DFFA82D" w:rsidR="00230F30" w:rsidRPr="00512ECB" w:rsidRDefault="00230F30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8A4F3D">
              <w:rPr>
                <w:bCs/>
                <w:color w:val="000000"/>
                <w:sz w:val="28"/>
                <w:szCs w:val="28"/>
              </w:rPr>
              <w:t>/0</w:t>
            </w:r>
            <w:r w:rsidR="008A4F3D">
              <w:rPr>
                <w:bCs/>
                <w:color w:val="000000"/>
                <w:sz w:val="28"/>
                <w:szCs w:val="28"/>
              </w:rPr>
              <w:t>0</w:t>
            </w:r>
            <w:r w:rsidR="008A4F3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8694E9" w14:textId="19F444CF" w:rsidR="00230F30" w:rsidRPr="00512ECB" w:rsidRDefault="008A4F3D" w:rsidP="00230F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2/18%</w:t>
            </w:r>
            <w:bookmarkStart w:id="0" w:name="_GoBack"/>
            <w:bookmarkEnd w:id="0"/>
          </w:p>
        </w:tc>
      </w:tr>
    </w:tbl>
    <w:p w14:paraId="25AA95C3" w14:textId="77777777" w:rsidR="00230F30" w:rsidRDefault="00230F30" w:rsidP="00230F30">
      <w:pPr>
        <w:jc w:val="right"/>
        <w:rPr>
          <w:i/>
          <w:sz w:val="20"/>
          <w:szCs w:val="20"/>
        </w:rPr>
      </w:pPr>
    </w:p>
    <w:p w14:paraId="1C401722" w14:textId="77777777" w:rsidR="00230F30" w:rsidRPr="00E23ADC" w:rsidRDefault="00230F30" w:rsidP="00230F30">
      <w:pPr>
        <w:pStyle w:val="Default"/>
        <w:tabs>
          <w:tab w:val="left" w:pos="900"/>
        </w:tabs>
        <w:ind w:firstLine="539"/>
        <w:jc w:val="both"/>
        <w:rPr>
          <w:sz w:val="28"/>
          <w:szCs w:val="28"/>
        </w:rPr>
      </w:pPr>
    </w:p>
    <w:p w14:paraId="61C43D27" w14:textId="77777777" w:rsidR="00230F30" w:rsidRDefault="00230F30" w:rsidP="00230F30">
      <w:pPr>
        <w:ind w:firstLine="540"/>
        <w:jc w:val="both"/>
        <w:rPr>
          <w:sz w:val="28"/>
          <w:szCs w:val="28"/>
        </w:rPr>
      </w:pPr>
    </w:p>
    <w:p w14:paraId="406AFE26" w14:textId="77777777" w:rsidR="00230F30" w:rsidRPr="00E23ADC" w:rsidRDefault="00230F30" w:rsidP="00230F30">
      <w:pPr>
        <w:pStyle w:val="Default"/>
        <w:ind w:firstLine="540"/>
        <w:jc w:val="both"/>
        <w:rPr>
          <w:sz w:val="28"/>
          <w:szCs w:val="28"/>
        </w:rPr>
      </w:pPr>
    </w:p>
    <w:p w14:paraId="63A4D0BE" w14:textId="77777777" w:rsidR="00DA7901" w:rsidRDefault="00DA7901" w:rsidP="00230F30">
      <w:pPr>
        <w:pStyle w:val="1"/>
        <w:spacing w:before="0" w:after="0"/>
        <w:jc w:val="both"/>
        <w:rPr>
          <w:b/>
          <w:bCs/>
          <w:sz w:val="28"/>
          <w:szCs w:val="28"/>
        </w:rPr>
      </w:pPr>
    </w:p>
    <w:p w14:paraId="44E8FA2A" w14:textId="77777777" w:rsidR="00DA7901" w:rsidRDefault="001E7DC9" w:rsidP="00A2372F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мониторинга объективности результатов всероссийских проверочных работ</w:t>
      </w:r>
    </w:p>
    <w:p w14:paraId="38D201BD" w14:textId="77777777" w:rsidR="00EC02B7" w:rsidRDefault="00EC02B7" w:rsidP="00A2372F">
      <w:pPr>
        <w:ind w:firstLine="540"/>
        <w:jc w:val="center"/>
        <w:rPr>
          <w:b/>
          <w:bCs/>
          <w:sz w:val="28"/>
          <w:szCs w:val="28"/>
        </w:rPr>
      </w:pPr>
    </w:p>
    <w:p w14:paraId="6B997963" w14:textId="77777777" w:rsidR="00EC02B7" w:rsidRDefault="00EC02B7" w:rsidP="00A2372F">
      <w:pPr>
        <w:ind w:firstLine="540"/>
        <w:jc w:val="center"/>
        <w:rPr>
          <w:b/>
          <w:bCs/>
          <w:sz w:val="28"/>
          <w:szCs w:val="28"/>
        </w:rPr>
      </w:pPr>
    </w:p>
    <w:p w14:paraId="79D2C0F9" w14:textId="77777777" w:rsidR="001E7DC9" w:rsidRDefault="001E7DC9" w:rsidP="00944AA5">
      <w:pPr>
        <w:ind w:firstLine="708"/>
        <w:rPr>
          <w:sz w:val="28"/>
          <w:szCs w:val="28"/>
        </w:rPr>
      </w:pPr>
    </w:p>
    <w:p w14:paraId="254213F5" w14:textId="6127B4D9" w:rsidR="00DC0754" w:rsidRDefault="00EC798E" w:rsidP="00944AA5">
      <w:pPr>
        <w:ind w:firstLine="708"/>
        <w:rPr>
          <w:sz w:val="28"/>
          <w:szCs w:val="28"/>
        </w:rPr>
      </w:pPr>
      <w:r w:rsidRPr="00DC0754">
        <w:rPr>
          <w:sz w:val="28"/>
          <w:szCs w:val="28"/>
        </w:rPr>
        <w:t xml:space="preserve">Анализ результатов ВПР по </w:t>
      </w:r>
      <w:r w:rsidR="005A7B9E">
        <w:rPr>
          <w:sz w:val="28"/>
          <w:szCs w:val="28"/>
        </w:rPr>
        <w:t>математике</w:t>
      </w:r>
      <w:r w:rsidRPr="00DC0754">
        <w:rPr>
          <w:sz w:val="28"/>
          <w:szCs w:val="28"/>
        </w:rPr>
        <w:t xml:space="preserve"> обучающихся 6  класса МКОУ «</w:t>
      </w:r>
      <w:proofErr w:type="spellStart"/>
      <w:r w:rsidR="00BA4A67">
        <w:rPr>
          <w:sz w:val="28"/>
          <w:szCs w:val="28"/>
        </w:rPr>
        <w:t>Цаган-Нурская</w:t>
      </w:r>
      <w:proofErr w:type="spellEnd"/>
      <w:r w:rsidR="00BA4A67">
        <w:rPr>
          <w:sz w:val="28"/>
          <w:szCs w:val="28"/>
        </w:rPr>
        <w:t xml:space="preserve"> СОШ </w:t>
      </w:r>
      <w:proofErr w:type="spellStart"/>
      <w:r w:rsidR="00BA4A67">
        <w:rPr>
          <w:sz w:val="28"/>
          <w:szCs w:val="28"/>
        </w:rPr>
        <w:t>им.Н.М.Санджирова</w:t>
      </w:r>
      <w:proofErr w:type="spellEnd"/>
      <w:r w:rsidRPr="00DC0754">
        <w:rPr>
          <w:sz w:val="28"/>
          <w:szCs w:val="28"/>
        </w:rPr>
        <w:t>»  п</w:t>
      </w:r>
      <w:r w:rsidR="00D80F6D">
        <w:rPr>
          <w:sz w:val="28"/>
          <w:szCs w:val="28"/>
        </w:rPr>
        <w:t xml:space="preserve">оказал, что </w:t>
      </w:r>
      <w:r w:rsidR="000762A9">
        <w:rPr>
          <w:sz w:val="28"/>
          <w:szCs w:val="28"/>
        </w:rPr>
        <w:t>большинство</w:t>
      </w:r>
      <w:r w:rsidR="00D80F6D">
        <w:rPr>
          <w:sz w:val="28"/>
          <w:szCs w:val="28"/>
        </w:rPr>
        <w:t xml:space="preserve"> </w:t>
      </w:r>
      <w:r w:rsidR="008700F4">
        <w:rPr>
          <w:sz w:val="28"/>
          <w:szCs w:val="28"/>
        </w:rPr>
        <w:t xml:space="preserve">детей </w:t>
      </w:r>
      <w:r w:rsidR="000F65C3">
        <w:rPr>
          <w:sz w:val="28"/>
          <w:szCs w:val="28"/>
        </w:rPr>
        <w:t xml:space="preserve">не </w:t>
      </w:r>
      <w:r w:rsidR="00D80F6D">
        <w:rPr>
          <w:sz w:val="28"/>
          <w:szCs w:val="28"/>
        </w:rPr>
        <w:t xml:space="preserve">подтвердили </w:t>
      </w:r>
      <w:r w:rsidRPr="00DC0754">
        <w:rPr>
          <w:sz w:val="28"/>
          <w:szCs w:val="28"/>
        </w:rPr>
        <w:t xml:space="preserve"> результат, учебный материал по </w:t>
      </w:r>
      <w:r w:rsidR="000F65C3">
        <w:rPr>
          <w:sz w:val="28"/>
          <w:szCs w:val="28"/>
        </w:rPr>
        <w:t>математике</w:t>
      </w:r>
      <w:r w:rsidR="000762A9">
        <w:rPr>
          <w:sz w:val="28"/>
          <w:szCs w:val="28"/>
        </w:rPr>
        <w:t xml:space="preserve"> усвоен не качественно, так как уроки повторения не показали должного результата</w:t>
      </w:r>
      <w:r w:rsidRPr="00DC0754">
        <w:rPr>
          <w:sz w:val="28"/>
          <w:szCs w:val="28"/>
        </w:rPr>
        <w:t xml:space="preserve">, </w:t>
      </w:r>
      <w:r w:rsidR="000F65C3">
        <w:rPr>
          <w:sz w:val="28"/>
          <w:szCs w:val="28"/>
        </w:rPr>
        <w:t xml:space="preserve">не </w:t>
      </w:r>
      <w:r w:rsidRPr="00DC0754">
        <w:rPr>
          <w:sz w:val="28"/>
          <w:szCs w:val="28"/>
        </w:rPr>
        <w:t xml:space="preserve">умеют применять полученные знания для решения предложенных заданий. </w:t>
      </w:r>
    </w:p>
    <w:p w14:paraId="73046F73" w14:textId="282700B2" w:rsidR="00DC0754" w:rsidRDefault="00DC0754" w:rsidP="00944A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региональной проверочной работы МКОУ «</w:t>
      </w:r>
      <w:proofErr w:type="spellStart"/>
      <w:r>
        <w:rPr>
          <w:sz w:val="28"/>
          <w:szCs w:val="28"/>
        </w:rPr>
        <w:t>Кумская</w:t>
      </w:r>
      <w:proofErr w:type="spellEnd"/>
      <w:r>
        <w:rPr>
          <w:sz w:val="28"/>
          <w:szCs w:val="28"/>
        </w:rPr>
        <w:t xml:space="preserve"> СОШ» показали хороший уровень владения обучающимися базовыми учебно-</w:t>
      </w:r>
      <w:r w:rsidR="000762A9">
        <w:rPr>
          <w:sz w:val="28"/>
          <w:szCs w:val="28"/>
        </w:rPr>
        <w:t xml:space="preserve"> умениями.</w:t>
      </w:r>
    </w:p>
    <w:p w14:paraId="2007D9C8" w14:textId="4A6D60CF" w:rsidR="00E05431" w:rsidRDefault="008700F4" w:rsidP="00076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1A72">
        <w:rPr>
          <w:sz w:val="28"/>
          <w:szCs w:val="28"/>
        </w:rPr>
        <w:t xml:space="preserve">Данные результаты отражают соотношение отметок учащихся в журнале с теми, которые были получены по результатам проведения РДР в апреле нынешнего года. </w:t>
      </w:r>
    </w:p>
    <w:p w14:paraId="28955A39" w14:textId="04758A9D" w:rsidR="00550CFA" w:rsidRPr="00550CFA" w:rsidRDefault="00E05431" w:rsidP="00076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E4F38C" w14:textId="179D61E8" w:rsidR="00550CFA" w:rsidRPr="00550CFA" w:rsidRDefault="00550CFA" w:rsidP="00550CFA">
      <w:pPr>
        <w:jc w:val="both"/>
        <w:rPr>
          <w:sz w:val="28"/>
          <w:szCs w:val="28"/>
        </w:rPr>
      </w:pPr>
    </w:p>
    <w:p w14:paraId="20D4E496" w14:textId="45713EEB" w:rsidR="005422EF" w:rsidRDefault="00550CFA" w:rsidP="000762A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Итоги проведения Р</w:t>
      </w:r>
      <w:r w:rsidR="00361180">
        <w:rPr>
          <w:sz w:val="28"/>
          <w:szCs w:val="28"/>
        </w:rPr>
        <w:t xml:space="preserve">егиональной диагностической работы </w:t>
      </w:r>
      <w:r>
        <w:rPr>
          <w:sz w:val="28"/>
          <w:szCs w:val="28"/>
        </w:rPr>
        <w:t xml:space="preserve"> по </w:t>
      </w:r>
      <w:r w:rsidR="000762A9">
        <w:rPr>
          <w:sz w:val="28"/>
          <w:szCs w:val="28"/>
        </w:rPr>
        <w:t>математике</w:t>
      </w:r>
      <w:r w:rsidR="00361180">
        <w:rPr>
          <w:sz w:val="28"/>
          <w:szCs w:val="28"/>
        </w:rPr>
        <w:t xml:space="preserve"> в 6 классах  свидетельствуют о незначительном расхождении результатов оценивания Всероссийской проверочной работы</w:t>
      </w:r>
      <w:r w:rsidR="000762A9">
        <w:rPr>
          <w:sz w:val="28"/>
          <w:szCs w:val="28"/>
        </w:rPr>
        <w:t xml:space="preserve"> в </w:t>
      </w:r>
      <w:proofErr w:type="spellStart"/>
      <w:r w:rsidR="000762A9">
        <w:rPr>
          <w:sz w:val="28"/>
          <w:szCs w:val="28"/>
        </w:rPr>
        <w:t>Кумской</w:t>
      </w:r>
      <w:proofErr w:type="spellEnd"/>
      <w:r w:rsidR="000762A9">
        <w:rPr>
          <w:sz w:val="28"/>
          <w:szCs w:val="28"/>
        </w:rPr>
        <w:t xml:space="preserve"> школе и тревожное состояние обучения в </w:t>
      </w:r>
      <w:proofErr w:type="spellStart"/>
      <w:r w:rsidR="000762A9">
        <w:rPr>
          <w:sz w:val="28"/>
          <w:szCs w:val="28"/>
        </w:rPr>
        <w:t>Цаган-Нурской</w:t>
      </w:r>
      <w:proofErr w:type="spellEnd"/>
      <w:r w:rsidR="000762A9">
        <w:rPr>
          <w:sz w:val="28"/>
          <w:szCs w:val="28"/>
        </w:rPr>
        <w:t xml:space="preserve"> СОШ </w:t>
      </w:r>
      <w:r w:rsidR="00361180">
        <w:rPr>
          <w:sz w:val="28"/>
          <w:szCs w:val="28"/>
        </w:rPr>
        <w:t xml:space="preserve">. </w:t>
      </w:r>
    </w:p>
    <w:p w14:paraId="429D0E9A" w14:textId="77777777" w:rsidR="008700F4" w:rsidRDefault="008700F4" w:rsidP="000762A9">
      <w:pPr>
        <w:ind w:firstLine="708"/>
        <w:rPr>
          <w:sz w:val="28"/>
          <w:szCs w:val="28"/>
        </w:rPr>
      </w:pPr>
    </w:p>
    <w:p w14:paraId="1E45FFBE" w14:textId="77777777" w:rsidR="008700F4" w:rsidRDefault="008700F4" w:rsidP="000762A9">
      <w:pPr>
        <w:ind w:firstLine="708"/>
        <w:rPr>
          <w:sz w:val="28"/>
          <w:szCs w:val="28"/>
        </w:rPr>
      </w:pPr>
    </w:p>
    <w:p w14:paraId="7E70DA23" w14:textId="77777777" w:rsidR="008700F4" w:rsidRDefault="008700F4" w:rsidP="000762A9">
      <w:pPr>
        <w:ind w:firstLine="708"/>
        <w:rPr>
          <w:sz w:val="28"/>
          <w:szCs w:val="28"/>
        </w:rPr>
      </w:pPr>
    </w:p>
    <w:p w14:paraId="225218C0" w14:textId="77777777" w:rsidR="00E05431" w:rsidRPr="005422EF" w:rsidRDefault="00E05431" w:rsidP="00E05431">
      <w:pPr>
        <w:shd w:val="clear" w:color="auto" w:fill="FFFFFF" w:themeFill="background1"/>
        <w:jc w:val="both"/>
        <w:rPr>
          <w:sz w:val="28"/>
          <w:szCs w:val="28"/>
        </w:rPr>
      </w:pPr>
      <w:r w:rsidRPr="005422EF">
        <w:rPr>
          <w:sz w:val="28"/>
          <w:szCs w:val="28"/>
        </w:rPr>
        <w:t xml:space="preserve"> Рекомендации:</w:t>
      </w:r>
    </w:p>
    <w:p w14:paraId="428C3173" w14:textId="77777777" w:rsidR="00E05431" w:rsidRPr="005422EF" w:rsidRDefault="00E05431" w:rsidP="00E05431">
      <w:pPr>
        <w:numPr>
          <w:ilvl w:val="0"/>
          <w:numId w:val="1"/>
        </w:numPr>
        <w:shd w:val="clear" w:color="auto" w:fill="FFFFFF" w:themeFill="background1"/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>Обсудить результаты ВПР</w:t>
      </w:r>
      <w:r w:rsidR="005422EF">
        <w:rPr>
          <w:sz w:val="28"/>
          <w:szCs w:val="28"/>
        </w:rPr>
        <w:t xml:space="preserve"> и РДР</w:t>
      </w:r>
      <w:r w:rsidRPr="005422EF">
        <w:rPr>
          <w:sz w:val="28"/>
          <w:szCs w:val="28"/>
        </w:rPr>
        <w:t xml:space="preserve"> на Педагогическом совете  и сформировать План </w:t>
      </w:r>
      <w:r w:rsidRPr="005422EF">
        <w:rPr>
          <w:rFonts w:eastAsia="Times New Roman"/>
          <w:sz w:val="28"/>
          <w:szCs w:val="28"/>
          <w:lang w:eastAsia="zh-CN"/>
        </w:rPr>
        <w:t xml:space="preserve"> мероприятий по подготовке ВПР – 2020.</w:t>
      </w:r>
    </w:p>
    <w:p w14:paraId="1751EF5B" w14:textId="77777777" w:rsidR="00E05431" w:rsidRPr="005422EF" w:rsidRDefault="00E05431" w:rsidP="00E05431">
      <w:pPr>
        <w:numPr>
          <w:ilvl w:val="0"/>
          <w:numId w:val="1"/>
        </w:numPr>
        <w:shd w:val="clear" w:color="auto" w:fill="FFFFFF" w:themeFill="background1"/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 xml:space="preserve"> Рассмотреть проблему мотивации к обучению учительским коллективом с привлечением педагога-психолога. </w:t>
      </w:r>
    </w:p>
    <w:p w14:paraId="3D584316" w14:textId="77777777" w:rsidR="00E05431" w:rsidRPr="005422EF" w:rsidRDefault="00E05431" w:rsidP="00E05431">
      <w:pPr>
        <w:numPr>
          <w:ilvl w:val="0"/>
          <w:numId w:val="1"/>
        </w:numPr>
        <w:shd w:val="clear" w:color="auto" w:fill="FFFFFF" w:themeFill="background1"/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>Усилить контроль при организации проведения и проверки ВПР  с целью получения объективных результатов.</w:t>
      </w:r>
    </w:p>
    <w:p w14:paraId="7E127256" w14:textId="77777777" w:rsidR="00E05431" w:rsidRPr="005422EF" w:rsidRDefault="00E05431" w:rsidP="00E05431">
      <w:pPr>
        <w:numPr>
          <w:ilvl w:val="0"/>
          <w:numId w:val="1"/>
        </w:numPr>
        <w:shd w:val="clear" w:color="auto" w:fill="FFFFFF" w:themeFill="background1"/>
        <w:suppressAutoHyphens w:val="0"/>
        <w:spacing w:after="200" w:line="276" w:lineRule="auto"/>
        <w:contextualSpacing/>
        <w:jc w:val="both"/>
        <w:rPr>
          <w:sz w:val="28"/>
          <w:szCs w:val="28"/>
        </w:rPr>
      </w:pPr>
      <w:r w:rsidRPr="005422EF">
        <w:rPr>
          <w:sz w:val="28"/>
          <w:szCs w:val="28"/>
        </w:rPr>
        <w:t>При проведении ВПР привлекать сторонних наблюдателей (независимых); при проверке ВПР привлекать педагогов-предметников, не работающих в данных классах. Если в школе один учитель данной предметной области, содействовать  для привлечения к этой работе учителей других ОО.</w:t>
      </w:r>
    </w:p>
    <w:p w14:paraId="24B95B29" w14:textId="77777777" w:rsidR="00E05431" w:rsidRDefault="00E05431" w:rsidP="00E05431">
      <w:pPr>
        <w:shd w:val="clear" w:color="auto" w:fill="FFFFFF" w:themeFill="background1"/>
        <w:jc w:val="both"/>
      </w:pPr>
      <w:r>
        <w:t xml:space="preserve"> </w:t>
      </w:r>
    </w:p>
    <w:p w14:paraId="75EAE891" w14:textId="77777777" w:rsidR="00E05431" w:rsidRDefault="00E05431" w:rsidP="00E05431">
      <w:pPr>
        <w:shd w:val="clear" w:color="auto" w:fill="FFFFFF" w:themeFill="background1"/>
        <w:jc w:val="both"/>
      </w:pPr>
    </w:p>
    <w:p w14:paraId="7EC437A8" w14:textId="77777777" w:rsidR="00E05431" w:rsidRDefault="00E05431" w:rsidP="00E0543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981C3F" w14:textId="77777777" w:rsidR="00E05431" w:rsidRDefault="00E05431" w:rsidP="00E05431"/>
    <w:p w14:paraId="0E806C3D" w14:textId="77777777" w:rsidR="00E05431" w:rsidRDefault="00E05431" w:rsidP="00E05431"/>
    <w:p w14:paraId="789D2E38" w14:textId="77777777" w:rsidR="009C7BC9" w:rsidRPr="00550CFA" w:rsidRDefault="009C7BC9" w:rsidP="00361180">
      <w:pPr>
        <w:ind w:firstLine="708"/>
        <w:rPr>
          <w:bCs/>
          <w:sz w:val="28"/>
          <w:szCs w:val="28"/>
        </w:rPr>
      </w:pPr>
    </w:p>
    <w:sectPr w:rsidR="009C7BC9" w:rsidRPr="00550CFA" w:rsidSect="003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2C1A"/>
    <w:multiLevelType w:val="hybridMultilevel"/>
    <w:tmpl w:val="65888228"/>
    <w:lvl w:ilvl="0" w:tplc="DE50678C">
      <w:start w:val="1"/>
      <w:numFmt w:val="decimal"/>
      <w:lvlText w:val="%1."/>
      <w:lvlJc w:val="left"/>
      <w:pPr>
        <w:ind w:left="945" w:hanging="58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61363"/>
    <w:multiLevelType w:val="hybridMultilevel"/>
    <w:tmpl w:val="C35E8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72F"/>
    <w:rsid w:val="000762A9"/>
    <w:rsid w:val="000C4889"/>
    <w:rsid w:val="000E7E1D"/>
    <w:rsid w:val="000F65C3"/>
    <w:rsid w:val="001E0B11"/>
    <w:rsid w:val="001E7DC9"/>
    <w:rsid w:val="00230F30"/>
    <w:rsid w:val="00294626"/>
    <w:rsid w:val="00325BA7"/>
    <w:rsid w:val="00345717"/>
    <w:rsid w:val="00361180"/>
    <w:rsid w:val="003667C3"/>
    <w:rsid w:val="00385BB8"/>
    <w:rsid w:val="003A51D5"/>
    <w:rsid w:val="0053228E"/>
    <w:rsid w:val="005422EF"/>
    <w:rsid w:val="00550CFA"/>
    <w:rsid w:val="00573DC3"/>
    <w:rsid w:val="005A7B9E"/>
    <w:rsid w:val="006075AB"/>
    <w:rsid w:val="006B51C9"/>
    <w:rsid w:val="007F47BE"/>
    <w:rsid w:val="007F5202"/>
    <w:rsid w:val="008446BE"/>
    <w:rsid w:val="008700F4"/>
    <w:rsid w:val="008A4F3D"/>
    <w:rsid w:val="00905EB7"/>
    <w:rsid w:val="00944AA5"/>
    <w:rsid w:val="00960D05"/>
    <w:rsid w:val="009C7BC9"/>
    <w:rsid w:val="009D717D"/>
    <w:rsid w:val="00A2372F"/>
    <w:rsid w:val="00B82710"/>
    <w:rsid w:val="00BA4A67"/>
    <w:rsid w:val="00BF393B"/>
    <w:rsid w:val="00D71A72"/>
    <w:rsid w:val="00D80F6D"/>
    <w:rsid w:val="00DA2AC3"/>
    <w:rsid w:val="00DA7901"/>
    <w:rsid w:val="00DC0754"/>
    <w:rsid w:val="00E05431"/>
    <w:rsid w:val="00EC02B7"/>
    <w:rsid w:val="00EC798E"/>
    <w:rsid w:val="00F21AAD"/>
    <w:rsid w:val="00F45740"/>
    <w:rsid w:val="00F80AF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2F"/>
    <w:pPr>
      <w:suppressAutoHyphens/>
      <w:spacing w:after="0"/>
      <w:jc w:val="left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2372F"/>
    <w:pPr>
      <w:spacing w:before="280" w:after="280"/>
    </w:pPr>
  </w:style>
  <w:style w:type="table" w:styleId="a3">
    <w:name w:val="Table Grid"/>
    <w:basedOn w:val="a1"/>
    <w:uiPriority w:val="59"/>
    <w:rsid w:val="00DA79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0F30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1368</Words>
  <Characters>7799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Ekaterina Natyrova</cp:lastModifiedBy>
  <cp:revision>30</cp:revision>
  <dcterms:created xsi:type="dcterms:W3CDTF">2019-10-30T20:14:00Z</dcterms:created>
  <dcterms:modified xsi:type="dcterms:W3CDTF">2019-11-08T13:25:00Z</dcterms:modified>
</cp:coreProperties>
</file>