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BAB1" w14:textId="77777777" w:rsidR="006A4A45" w:rsidRPr="00773F0F" w:rsidRDefault="006A4A45" w:rsidP="006A4A45">
      <w:pPr>
        <w:widowControl w:val="0"/>
        <w:tabs>
          <w:tab w:val="left" w:pos="2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10</w:t>
      </w:r>
    </w:p>
    <w:p w14:paraId="4E9EF8A8" w14:textId="77777777" w:rsidR="006A4A45" w:rsidRPr="00773F0F" w:rsidRDefault="006A4A45" w:rsidP="006A4A45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43B63580" w14:textId="77777777" w:rsidR="006A4A45" w:rsidRPr="00773F0F" w:rsidRDefault="006A4A45" w:rsidP="006A4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402F3BA1" w14:textId="77777777" w:rsidR="006A4A45" w:rsidRPr="00773F0F" w:rsidRDefault="006A4A45" w:rsidP="006A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(К</w:t>
      </w:r>
      <w:r w:rsidRPr="00773F0F">
        <w:rPr>
          <w:rFonts w:ascii="Times New Roman" w:eastAsia="Times New Roman" w:hAnsi="Times New Roman" w:cs="Times New Roman"/>
          <w:b/>
          <w:bCs/>
          <w:lang w:eastAsia="ru-RU"/>
        </w:rPr>
        <w:t>онцертмейстер)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5954"/>
        <w:gridCol w:w="1134"/>
        <w:gridCol w:w="2155"/>
      </w:tblGrid>
      <w:tr w:rsidR="006A4A45" w:rsidRPr="00773F0F" w14:paraId="35001C5B" w14:textId="77777777" w:rsidTr="006A4A45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F57F1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AB31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Критерии и показатели</w:t>
            </w:r>
          </w:p>
          <w:p w14:paraId="338D4D58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FAF1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Баллы</w:t>
            </w:r>
          </w:p>
          <w:p w14:paraId="0E93BE74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25E1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Примечания</w:t>
            </w:r>
          </w:p>
        </w:tc>
      </w:tr>
      <w:tr w:rsidR="006A4A45" w:rsidRPr="00773F0F" w14:paraId="73C82176" w14:textId="77777777" w:rsidTr="006A4A45">
        <w:trPr>
          <w:trHeight w:val="25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C8CF3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 Вклад в повышение качества образования</w:t>
            </w:r>
          </w:p>
        </w:tc>
      </w:tr>
      <w:tr w:rsidR="006A4A45" w:rsidRPr="00773F0F" w14:paraId="3689562C" w14:textId="77777777" w:rsidTr="006A4A45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8AE3E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15C76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Открытые уроки и мастер-классы:</w:t>
            </w:r>
          </w:p>
          <w:p w14:paraId="0E44EFD7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 не менее 3-х</w:t>
            </w:r>
          </w:p>
          <w:p w14:paraId="05B1BDD6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 не менее 2-х</w:t>
            </w:r>
          </w:p>
          <w:p w14:paraId="0ECC6D19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53820DF4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3F5E3A7C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6FA8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352633E2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15A1334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64380965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54CD5E27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65A1DEAC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90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6AE4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285970B7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0A45E5B0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муниципальный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уровень </w:t>
            </w:r>
          </w:p>
        </w:tc>
      </w:tr>
      <w:tr w:rsidR="006A4A45" w:rsidRPr="00773F0F" w14:paraId="50B4CEC4" w14:textId="77777777" w:rsidTr="006A4A45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BA987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38E30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Наличие научно-методических и учебно-методических работ, сочинений, аранжировок, разработок:</w:t>
            </w:r>
          </w:p>
          <w:p w14:paraId="0D52A1BB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361331B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</w:t>
            </w:r>
          </w:p>
          <w:p w14:paraId="196613F7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7C18BB33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5BD296E0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2F940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5C50D8FA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24A0C8A9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473ECD1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4F4DDE9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79602EE6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79F41FAB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D58A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4E5FD0B2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4CD61408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4BCB48CD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муниципальный уровень </w:t>
            </w:r>
          </w:p>
        </w:tc>
      </w:tr>
      <w:tr w:rsidR="006A4A45" w:rsidRPr="00773F0F" w14:paraId="05AAB7E7" w14:textId="77777777" w:rsidTr="006A4A45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D1D6E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ED1D6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Личное участие в концертно-выставочной деятельности:</w:t>
            </w:r>
          </w:p>
          <w:p w14:paraId="6F94E684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3E5C45BF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</w:t>
            </w:r>
          </w:p>
          <w:p w14:paraId="74EC8A86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318B243A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41F98E20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  <w:p w14:paraId="1DCE3F4A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Бонусы за участие на международном уровне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EAF4F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277830BC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48F25744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140AA3AC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7735BA66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633CCEBE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  <w:p w14:paraId="2ED43A3F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59F5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7A46C206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8E5EF6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7BDDC3BA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муниципальный уровень </w:t>
            </w:r>
          </w:p>
        </w:tc>
      </w:tr>
      <w:tr w:rsidR="006A4A45" w:rsidRPr="00773F0F" w14:paraId="0497706C" w14:textId="77777777" w:rsidTr="006A4A45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B9D1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E307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в подготовке творческих проектов, организация проведения концертов, создание сценария, художественное оформление</w:t>
            </w:r>
          </w:p>
          <w:p w14:paraId="4C85044A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26027AC9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</w:t>
            </w:r>
          </w:p>
          <w:p w14:paraId="482D3AD3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0A368746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68F03B0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и международный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4868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2578E758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2A4FE4B3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560576AD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2AA6A7E9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5684600C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2F65945C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66F96BC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90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BF41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0360E8EC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D46413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6A100B89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муниципальный уровень </w:t>
            </w:r>
          </w:p>
        </w:tc>
      </w:tr>
      <w:tr w:rsidR="006A4A45" w:rsidRPr="00773F0F" w14:paraId="30F7BAF4" w14:textId="77777777" w:rsidTr="006A4A45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0970E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FDA4A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Участие в деятельности профессиональных объединений, творческих коллективов, руководство МО:</w:t>
            </w:r>
          </w:p>
          <w:p w14:paraId="5916196E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3FDA74EA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или региональный уровень</w:t>
            </w:r>
          </w:p>
          <w:p w14:paraId="3AC41AB0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10409813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 уровень</w:t>
            </w:r>
          </w:p>
          <w:p w14:paraId="1916C4FB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Экспертная комиссия МОН 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F8DE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3342A929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</w:p>
          <w:p w14:paraId="1F605B1E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</w:t>
            </w:r>
          </w:p>
          <w:p w14:paraId="4E9463D7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20</w:t>
            </w:r>
          </w:p>
          <w:p w14:paraId="2DC7160F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40</w:t>
            </w:r>
          </w:p>
          <w:p w14:paraId="49A606F4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60</w:t>
            </w:r>
          </w:p>
          <w:p w14:paraId="01659FC0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iCs/>
                <w:kern w:val="1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4BD0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639F33D7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94BD2B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7E2A1F17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A45" w:rsidRPr="00773F0F" w14:paraId="6DDE5526" w14:textId="77777777" w:rsidTr="006A4A45">
        <w:trPr>
          <w:trHeight w:val="25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BF763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 Результаты участия учащихся в конкурсах, фестивалях, творческих проектах</w:t>
            </w:r>
          </w:p>
        </w:tc>
      </w:tr>
      <w:tr w:rsidR="006A4A45" w:rsidRPr="00773F0F" w14:paraId="00FC3633" w14:textId="77777777" w:rsidTr="006A4A45">
        <w:trPr>
          <w:trHeight w:val="1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77E3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4F44B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Внутренний уровень</w:t>
            </w:r>
          </w:p>
          <w:p w14:paraId="359C96E5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Муниципальный уровень</w:t>
            </w:r>
          </w:p>
          <w:p w14:paraId="5355AB21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Региональный уровень</w:t>
            </w:r>
          </w:p>
          <w:p w14:paraId="1892E5F6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Межрегиональный уровень</w:t>
            </w:r>
          </w:p>
          <w:p w14:paraId="568CC118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Российский/</w:t>
            </w:r>
            <w:proofErr w:type="gramStart"/>
            <w:r w:rsidRPr="00773F0F">
              <w:rPr>
                <w:rFonts w:ascii="Times New Roman" w:eastAsia="Arial Unicode MS" w:hAnsi="Times New Roman" w:cs="Times New Roman"/>
                <w:kern w:val="1"/>
                <w:lang w:eastAsia="ru-RU"/>
              </w:rPr>
              <w:t>международный  уровень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88E6E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3EDD1490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26AA2DE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0FF6EE3A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0F1DD6CE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4500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7F51D242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A4A45" w:rsidRPr="00773F0F" w14:paraId="3BB2C709" w14:textId="77777777" w:rsidTr="006A4A45">
        <w:trPr>
          <w:trHeight w:val="364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6B7FEB1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Награды и поощрения за успехи в профессиональной деятельности</w:t>
            </w:r>
          </w:p>
        </w:tc>
      </w:tr>
      <w:tr w:rsidR="006A4A45" w:rsidRPr="00773F0F" w14:paraId="130BE128" w14:textId="77777777" w:rsidTr="006A4A45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548A7770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</w:tcBorders>
          </w:tcPr>
          <w:p w14:paraId="5F14F55A" w14:textId="77777777" w:rsidR="006A4A45" w:rsidRPr="00773F0F" w:rsidRDefault="006A4A45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42156C97" w14:textId="77777777" w:rsidR="006A4A45" w:rsidRPr="00773F0F" w:rsidRDefault="006A4A45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4AF3B01A" w14:textId="77777777" w:rsidR="006A4A45" w:rsidRPr="00773F0F" w:rsidRDefault="006A4A45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01B7A7B9" w14:textId="77777777" w:rsidR="006A4A45" w:rsidRPr="00773F0F" w:rsidRDefault="006A4A45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Премия Главы РК, </w:t>
            </w:r>
          </w:p>
          <w:p w14:paraId="7DAA0240" w14:textId="77777777" w:rsidR="006A4A45" w:rsidRPr="00773F0F" w:rsidRDefault="006A4A45" w:rsidP="006C2F7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7E254B3B" w14:textId="77777777" w:rsidR="006A4A45" w:rsidRPr="00773F0F" w:rsidRDefault="006A4A45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C4229F" w14:textId="77777777" w:rsidR="006A4A45" w:rsidRPr="00773F0F" w:rsidRDefault="006A4A45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3A712845" w14:textId="77777777" w:rsidR="006A4A45" w:rsidRPr="00773F0F" w:rsidRDefault="006A4A45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2222B84F" w14:textId="77777777" w:rsidR="006A4A45" w:rsidRPr="00773F0F" w:rsidRDefault="006A4A45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29056EFD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7FB3E7" w14:textId="77777777" w:rsidR="006A4A45" w:rsidRPr="00773F0F" w:rsidRDefault="006A4A45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259682" w14:textId="77777777" w:rsidR="006A4A45" w:rsidRPr="00773F0F" w:rsidRDefault="006A4A45" w:rsidP="006C2F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период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Отметить все подходящие варианты </w:t>
            </w:r>
          </w:p>
        </w:tc>
      </w:tr>
      <w:tr w:rsidR="006A4A45" w:rsidRPr="00773F0F" w14:paraId="215B890E" w14:textId="77777777" w:rsidTr="006A4A45">
        <w:trPr>
          <w:trHeight w:val="253"/>
        </w:trPr>
        <w:tc>
          <w:tcPr>
            <w:tcW w:w="10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C96C89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Концертмейстер: первая квалификационная категория: 170-429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баллов,</w:t>
            </w:r>
          </w:p>
          <w:p w14:paraId="4F5595AA" w14:textId="77777777" w:rsidR="006A4A45" w:rsidRPr="00773F0F" w:rsidRDefault="006A4A45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высшая квалификационная категория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430-610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баллов</w:t>
            </w:r>
          </w:p>
        </w:tc>
      </w:tr>
    </w:tbl>
    <w:p w14:paraId="6DB507A1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45"/>
    <w:rsid w:val="006A4A45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454A"/>
  <w15:chartTrackingRefBased/>
  <w15:docId w15:val="{7C6F920E-707F-4A53-A7A3-82982179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2026-02-16T14:07:00Z</dcterms:created>
  <dcterms:modified xsi:type="dcterms:W3CDTF">2026-02-16T14:07:00Z</dcterms:modified>
</cp:coreProperties>
</file>